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3EF" w:rsidRDefault="004263EF">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bookmarkStart w:id="0" w:name="_GoBack"/>
      <w:bookmarkEnd w:id="0"/>
    </w:p>
    <w:p w:rsidR="004263EF" w:rsidRDefault="006B205B">
      <w:pPr>
        <w:keepNext/>
        <w:jc w:val="left"/>
        <w:rPr>
          <w:rFonts w:ascii="Arial" w:eastAsia="Arial" w:hAnsi="Arial"/>
          <w:b/>
          <w:sz w:val="36"/>
          <w:szCs w:val="36"/>
        </w:rPr>
      </w:pPr>
      <w:r>
        <w:rPr>
          <w:rFonts w:ascii="Arial" w:eastAsia="Arial" w:hAnsi="Arial"/>
          <w:b/>
          <w:sz w:val="36"/>
          <w:szCs w:val="36"/>
        </w:rPr>
        <w:t>Call-Off Schedule 16 (Benchmarking)</w:t>
      </w:r>
    </w:p>
    <w:p w:rsidR="004263EF" w:rsidRDefault="006B205B">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rsidR="004263EF" w:rsidRDefault="006B205B">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0"/>
        <w:tblW w:w="804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00"/>
        <w:gridCol w:w="5142"/>
      </w:tblGrid>
      <w:tr w:rsidR="004263EF">
        <w:tc>
          <w:tcPr>
            <w:tcW w:w="2900" w:type="dxa"/>
            <w:shd w:val="clear" w:color="auto" w:fill="auto"/>
          </w:tcPr>
          <w:p w:rsidR="004263EF" w:rsidRDefault="006B205B">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"Benchmark Review"</w:t>
            </w:r>
          </w:p>
        </w:tc>
        <w:tc>
          <w:tcPr>
            <w:tcW w:w="5142" w:type="dxa"/>
            <w:shd w:val="clear" w:color="auto" w:fill="auto"/>
          </w:tcPr>
          <w:p w:rsidR="004263EF" w:rsidRDefault="006B205B">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a review of the Deliverables carried out in accordance with this Schedule to determine whether those Deliverables represent Good Value;</w:t>
            </w:r>
          </w:p>
        </w:tc>
      </w:tr>
      <w:tr w:rsidR="004263EF">
        <w:tc>
          <w:tcPr>
            <w:tcW w:w="2900" w:type="dxa"/>
            <w:shd w:val="clear" w:color="auto" w:fill="auto"/>
          </w:tcPr>
          <w:p w:rsidR="004263EF" w:rsidRDefault="006B205B">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"Benchmarked Deliverables"</w:t>
            </w:r>
          </w:p>
        </w:tc>
        <w:tc>
          <w:tcPr>
            <w:tcW w:w="5142" w:type="dxa"/>
            <w:shd w:val="clear" w:color="auto" w:fill="auto"/>
          </w:tcPr>
          <w:p w:rsidR="004263EF" w:rsidRDefault="006B205B">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any Deliverables included within the scope of a Benchmark Review pursuant to this Schedule;</w:t>
            </w:r>
          </w:p>
        </w:tc>
      </w:tr>
      <w:tr w:rsidR="004263EF">
        <w:tc>
          <w:tcPr>
            <w:tcW w:w="2900" w:type="dxa"/>
            <w:shd w:val="clear" w:color="auto" w:fill="auto"/>
          </w:tcPr>
          <w:p w:rsidR="004263EF" w:rsidRDefault="006B205B">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"Comparable Rates"</w:t>
            </w:r>
          </w:p>
        </w:tc>
        <w:tc>
          <w:tcPr>
            <w:tcW w:w="5142" w:type="dxa"/>
            <w:shd w:val="clear" w:color="auto" w:fill="auto"/>
          </w:tcPr>
          <w:p w:rsidR="004263EF" w:rsidRDefault="006B205B">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the Charges for Comparable Deliverables;</w:t>
            </w:r>
          </w:p>
        </w:tc>
      </w:tr>
      <w:tr w:rsidR="004263EF">
        <w:tc>
          <w:tcPr>
            <w:tcW w:w="2900" w:type="dxa"/>
            <w:shd w:val="clear" w:color="auto" w:fill="auto"/>
          </w:tcPr>
          <w:p w:rsidR="004263EF" w:rsidRDefault="006B205B">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"Comparable Deliverables"</w:t>
            </w:r>
          </w:p>
        </w:tc>
        <w:tc>
          <w:tcPr>
            <w:tcW w:w="5142" w:type="dxa"/>
            <w:shd w:val="clear" w:color="auto" w:fill="auto"/>
          </w:tcPr>
          <w:p w:rsidR="004263EF" w:rsidRDefault="006B205B">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263EF">
        <w:tc>
          <w:tcPr>
            <w:tcW w:w="2900" w:type="dxa"/>
            <w:shd w:val="clear" w:color="auto" w:fill="auto"/>
          </w:tcPr>
          <w:p w:rsidR="004263EF" w:rsidRDefault="006B205B">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"Comparison Group"</w:t>
            </w:r>
          </w:p>
        </w:tc>
        <w:tc>
          <w:tcPr>
            <w:tcW w:w="5142" w:type="dxa"/>
            <w:shd w:val="clear" w:color="auto" w:fill="auto"/>
          </w:tcPr>
          <w:p w:rsidR="004263EF" w:rsidRDefault="006B205B">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263EF">
        <w:tc>
          <w:tcPr>
            <w:tcW w:w="2900" w:type="dxa"/>
            <w:shd w:val="clear" w:color="auto" w:fill="auto"/>
          </w:tcPr>
          <w:p w:rsidR="004263EF" w:rsidRDefault="006B205B">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"Equivalent Data"</w:t>
            </w:r>
          </w:p>
        </w:tc>
        <w:tc>
          <w:tcPr>
            <w:tcW w:w="5142" w:type="dxa"/>
            <w:shd w:val="clear" w:color="auto" w:fill="auto"/>
          </w:tcPr>
          <w:p w:rsidR="004263EF" w:rsidRDefault="006B205B">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data derived from an analysis of the Comparable Rates and/or the Comparable Deliverables (as applicable) provided by the Comparison Group;</w:t>
            </w:r>
          </w:p>
        </w:tc>
      </w:tr>
      <w:tr w:rsidR="004263EF">
        <w:tc>
          <w:tcPr>
            <w:tcW w:w="2900" w:type="dxa"/>
            <w:shd w:val="clear" w:color="auto" w:fill="auto"/>
          </w:tcPr>
          <w:p w:rsidR="004263EF" w:rsidRDefault="006B205B">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"Good Value"</w:t>
            </w:r>
          </w:p>
        </w:tc>
        <w:tc>
          <w:tcPr>
            <w:tcW w:w="5142" w:type="dxa"/>
            <w:shd w:val="clear" w:color="auto" w:fill="auto"/>
          </w:tcPr>
          <w:p w:rsidR="004263EF" w:rsidRDefault="006B205B">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that the Benchmarked Rates are within the Upper Quartile; and</w:t>
            </w:r>
          </w:p>
        </w:tc>
      </w:tr>
      <w:tr w:rsidR="004263EF">
        <w:tc>
          <w:tcPr>
            <w:tcW w:w="2900" w:type="dxa"/>
            <w:shd w:val="clear" w:color="auto" w:fill="auto"/>
          </w:tcPr>
          <w:p w:rsidR="004263EF" w:rsidRDefault="006B205B">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"Upper Quartile"</w:t>
            </w:r>
          </w:p>
        </w:tc>
        <w:tc>
          <w:tcPr>
            <w:tcW w:w="5142" w:type="dxa"/>
            <w:shd w:val="clear" w:color="auto" w:fill="auto"/>
          </w:tcPr>
          <w:p w:rsidR="004263EF" w:rsidRDefault="006B205B">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4263EF" w:rsidRDefault="006B205B">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rsidR="004263EF" w:rsidRDefault="006B205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rsidR="004263EF" w:rsidRDefault="006B205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4263EF" w:rsidRDefault="006B205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rsidR="004263EF" w:rsidRDefault="006B205B">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rsidR="004263EF" w:rsidRDefault="006B205B">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rsidR="004263EF" w:rsidRDefault="006B205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rsidR="004263EF" w:rsidRDefault="006B205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Benchmark Review of any or all of the Deliverables.</w:t>
      </w:r>
    </w:p>
    <w:p w:rsidR="004263EF" w:rsidRDefault="006B205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not be entitled to request a Benchmark Review during the first six (6) Month period from the Contract Commencement Date or at intervals of less than twelve (12) Months after any previous Benchmark Review. </w:t>
      </w:r>
    </w:p>
    <w:p w:rsidR="004263EF" w:rsidRDefault="006B205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rsidR="004263EF" w:rsidRDefault="006B205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writing.</w:t>
      </w:r>
    </w:p>
    <w:p w:rsidR="004263EF" w:rsidRDefault="006B205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4263EF" w:rsidRDefault="006B205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w:t>
      </w:r>
      <w:r>
        <w:rPr>
          <w:rFonts w:ascii="Arial" w:eastAsia="Arial" w:hAnsi="Arial"/>
          <w:color w:val="000000"/>
          <w:sz w:val="24"/>
          <w:szCs w:val="24"/>
        </w:rPr>
        <w:lastRenderedPageBreak/>
        <w:t>the Parties shall share the cost of the benchmarker in such proportions as the Parties agree (acting reasonably). Invoices by the benchmarker shall be raised against the Supplier and the relevant portion shall be reimbursed by the Buyer.</w:t>
      </w:r>
    </w:p>
    <w:p w:rsidR="004263EF" w:rsidRDefault="006B205B">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Benchmarking Process</w:t>
      </w:r>
    </w:p>
    <w:p w:rsidR="004263EF" w:rsidRDefault="006B205B">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The benchmarker shall produce and send to the Buyer, for Approval, a draft plan for the Benchmark Review which must include:</w:t>
      </w:r>
    </w:p>
    <w:p w:rsidR="004263EF" w:rsidRDefault="006B205B">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rsidR="004263EF" w:rsidRDefault="006B205B">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rsidR="004263EF" w:rsidRDefault="006B205B">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description of how the benchmarker will scope and identify the Comparison Group. </w:t>
      </w:r>
    </w:p>
    <w:p w:rsidR="004263EF" w:rsidRDefault="006B205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benchmarker, acting reasonably, shall be entitled to use any model to determine the achievement of value for money and to carry out the benchmarking. </w:t>
      </w:r>
    </w:p>
    <w:p w:rsidR="004263EF" w:rsidRDefault="006B205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4263EF" w:rsidRDefault="006B205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Once both Parties have approved the draft plan then they will notify the benchmarker.  No Party may unreasonably withhold or delay its Approval of the draft plan.</w:t>
      </w:r>
    </w:p>
    <w:p w:rsidR="004263EF" w:rsidRDefault="006B205B">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Once it has received the Approval of the draft plan, the benchmarker shall:</w:t>
      </w:r>
    </w:p>
    <w:p w:rsidR="004263EF" w:rsidRDefault="006B205B">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rsidR="004263EF" w:rsidRDefault="006B205B">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rsidR="004263EF" w:rsidRDefault="006B205B">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the benchmarker’s own data and experience;</w:t>
      </w:r>
    </w:p>
    <w:p w:rsidR="004263EF" w:rsidRDefault="006B205B">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relevant published information; and</w:t>
      </w:r>
    </w:p>
    <w:p w:rsidR="004263EF" w:rsidRDefault="006B205B">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pursuant to Paragraph 3.2.6  below, information from other suppliers or purchasers on Comparable Rates;</w:t>
      </w:r>
    </w:p>
    <w:p w:rsidR="004263EF" w:rsidRDefault="006B205B">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by applying the adjustment factors listed in Paragraph 3.2.7 and from an analysis of the Comparable Rates, derive the Equivalent Data;</w:t>
      </w:r>
    </w:p>
    <w:p w:rsidR="004263EF" w:rsidRDefault="006B205B">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using the Equivalent Data, calculate the Upper Quartile;</w:t>
      </w:r>
    </w:p>
    <w:p w:rsidR="004263EF" w:rsidRDefault="006B205B">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rsidR="004263EF" w:rsidRDefault="006B205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4263EF" w:rsidRDefault="006B205B">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In carrying out the benchmarking analysis the benchmarker may have regard to the following matters when performing a comparative assessment of the Benchmarked Rates and the Comparable Rates in order to derive Equivalent Data:</w:t>
      </w:r>
    </w:p>
    <w:p w:rsidR="004263EF" w:rsidRDefault="006B205B">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rsidR="004263EF" w:rsidRDefault="006B205B">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rates;</w:t>
      </w:r>
    </w:p>
    <w:p w:rsidR="004263EF" w:rsidRDefault="006B205B">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any other factors reasonably identified by the Supplier, which, if not taken into consideration, could unfairly cause the Supplier's pricing to appear non-competitive.</w:t>
      </w:r>
    </w:p>
    <w:p w:rsidR="004263EF" w:rsidRDefault="006B205B">
      <w:pPr>
        <w:keepNext/>
        <w:numPr>
          <w:ilvl w:val="1"/>
          <w:numId w:val="1"/>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rsidR="004263EF" w:rsidRDefault="006B205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benchmarker following the Benchmark Review and as further described in this Schedule;</w:t>
      </w:r>
    </w:p>
    <w:p w:rsidR="004263EF" w:rsidRDefault="006B205B">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benchmarker shall prepare a Benchmarking Report and deliver it to the Buyer, at the time specified in the plan Approved pursuant to Paragraph 3.2.3, setting out its findings.  Those findings shall be required to:</w:t>
      </w:r>
    </w:p>
    <w:p w:rsidR="004263EF" w:rsidRDefault="006B205B">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rsidR="004263EF" w:rsidRDefault="006B205B">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4263EF" w:rsidRDefault="006B205B">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rsidR="004263EF" w:rsidRDefault="006B205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sectPr w:rsidR="004263EF">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olor w:val="000000"/>
          <w:sz w:val="24"/>
          <w:szCs w:val="24"/>
        </w:rPr>
        <w:t xml:space="preserve">The Parties agree that any changes required to this Contract identified in the Benchmarking Report shall be implemented at </w:t>
      </w:r>
      <w:r>
        <w:rPr>
          <w:rFonts w:ascii="Arial" w:eastAsia="Arial" w:hAnsi="Arial"/>
          <w:color w:val="000000"/>
          <w:sz w:val="24"/>
          <w:szCs w:val="24"/>
        </w:rPr>
        <w:lastRenderedPageBreak/>
        <w:t>the direction of the Buyer in accordance with Clause 24 (Changing the contract).</w:t>
      </w:r>
    </w:p>
    <w:p w:rsidR="004263EF" w:rsidRDefault="004263EF">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sectPr w:rsidR="004263EF">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52B" w:rsidRDefault="007C552B">
      <w:pPr>
        <w:spacing w:after="0"/>
      </w:pPr>
      <w:r>
        <w:separator/>
      </w:r>
    </w:p>
  </w:endnote>
  <w:endnote w:type="continuationSeparator" w:id="0">
    <w:p w:rsidR="007C552B" w:rsidRDefault="007C55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3EF" w:rsidRDefault="004263EF">
    <w:pPr>
      <w:tabs>
        <w:tab w:val="center" w:pos="4513"/>
        <w:tab w:val="right" w:pos="9026"/>
      </w:tabs>
      <w:spacing w:after="0"/>
      <w:rPr>
        <w:rFonts w:ascii="Arial" w:eastAsia="Arial" w:hAnsi="Arial"/>
        <w:sz w:val="20"/>
        <w:szCs w:val="20"/>
      </w:rPr>
    </w:pPr>
  </w:p>
  <w:p w:rsidR="004263EF" w:rsidRDefault="006B205B">
    <w:pPr>
      <w:tabs>
        <w:tab w:val="center" w:pos="4513"/>
        <w:tab w:val="right" w:pos="9026"/>
      </w:tabs>
      <w:spacing w:after="0"/>
      <w:rPr>
        <w:rFonts w:ascii="Arial" w:eastAsia="Arial" w:hAnsi="Arial"/>
        <w:sz w:val="20"/>
        <w:szCs w:val="20"/>
      </w:rPr>
    </w:pPr>
    <w:r>
      <w:rPr>
        <w:rFonts w:ascii="Arial" w:eastAsia="Arial" w:hAnsi="Arial"/>
        <w:sz w:val="20"/>
        <w:szCs w:val="20"/>
      </w:rPr>
      <w:t>Framework Ref: RM6308</w:t>
    </w:r>
  </w:p>
  <w:p w:rsidR="004263EF" w:rsidRDefault="006B205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316BE8">
      <w:rPr>
        <w:rFonts w:ascii="Arial" w:eastAsia="Arial" w:hAnsi="Arial"/>
        <w:noProof/>
        <w:color w:val="000000"/>
        <w:sz w:val="20"/>
        <w:szCs w:val="20"/>
      </w:rPr>
      <w:t>2</w:t>
    </w:r>
    <w:r>
      <w:rPr>
        <w:rFonts w:ascii="Arial" w:eastAsia="Arial" w:hAnsi="Arial"/>
        <w:color w:val="000000"/>
        <w:sz w:val="20"/>
        <w:szCs w:val="20"/>
      </w:rPr>
      <w:fldChar w:fldCharType="end"/>
    </w:r>
  </w:p>
  <w:p w:rsidR="004263EF" w:rsidRDefault="006B205B">
    <w:pPr>
      <w:tabs>
        <w:tab w:val="center" w:pos="4513"/>
        <w:tab w:val="right" w:pos="9026"/>
      </w:tabs>
      <w:spacing w:after="0"/>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3EF" w:rsidRDefault="006B205B">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rsidR="004263EF" w:rsidRDefault="006B205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rsidR="004263EF" w:rsidRDefault="006B205B">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52B" w:rsidRDefault="007C552B">
      <w:pPr>
        <w:spacing w:after="0"/>
      </w:pPr>
      <w:r>
        <w:separator/>
      </w:r>
    </w:p>
  </w:footnote>
  <w:footnote w:type="continuationSeparator" w:id="0">
    <w:p w:rsidR="007C552B" w:rsidRDefault="007C55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3EF" w:rsidRDefault="006B205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rsidR="004263EF" w:rsidRDefault="006B205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rsidR="004263EF" w:rsidRDefault="006B205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23</w:t>
    </w:r>
  </w:p>
  <w:p w:rsidR="004263EF" w:rsidRDefault="004263EF">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3EF" w:rsidRDefault="006B205B">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6143F"/>
    <w:multiLevelType w:val="multilevel"/>
    <w:tmpl w:val="DFCA058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CFC1547"/>
    <w:multiLevelType w:val="multilevel"/>
    <w:tmpl w:val="037E410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Calibri" w:hAnsi="Arial" w:cs="Arial" w:hint="default"/>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3EF"/>
    <w:rsid w:val="00316BE8"/>
    <w:rsid w:val="004263EF"/>
    <w:rsid w:val="006B205B"/>
    <w:rsid w:val="00790AEF"/>
    <w:rsid w:val="007C55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13C3DF-C4A5-4B1D-96F7-34F5538F6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UW7oMU16lpciEto4goyzqfbtpA==">CgMxLjAyCGguZ2pkZ3hzMgloLjMwajB6bGwyCWguMWZvYjl0ZTIJaC4zem55c2g3MgloLjJldDkycDAyCGgudHlqY3d0OAByITFiVnJid0pkR2JEcFFsaFJpa3FFTGhuLVBMZUx0UlBlZA==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1226</Words>
  <Characters>6991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Mukesh Jethwa</dc:creator>
  <cp:lastModifiedBy>Mukesh Jethwa</cp:lastModifiedBy>
  <cp:revision>2</cp:revision>
  <dcterms:created xsi:type="dcterms:W3CDTF">2025-07-16T15:20:00Z</dcterms:created>
  <dcterms:modified xsi:type="dcterms:W3CDTF">2025-07-16T15:20:00Z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